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2A7BC1">
        <w:rPr>
          <w:b w:val="0"/>
          <w:szCs w:val="24"/>
        </w:rPr>
        <w:t>4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B67852">
        <w:rPr>
          <w:szCs w:val="24"/>
        </w:rPr>
        <w:t>13</w:t>
      </w:r>
      <w:r w:rsidRPr="00F34DBA">
        <w:rPr>
          <w:szCs w:val="24"/>
        </w:rPr>
        <w:t>/20</w:t>
      </w:r>
      <w:r w:rsidR="005D6F5E" w:rsidRPr="00F34DBA">
        <w:rPr>
          <w:szCs w:val="24"/>
        </w:rPr>
        <w:t>1</w:t>
      </w:r>
      <w:r w:rsidR="005F380C">
        <w:rPr>
          <w:szCs w:val="24"/>
        </w:rPr>
        <w:t>7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A94EC1" w:rsidRPr="00F34DBA">
        <w:t>)</w:t>
      </w:r>
      <w:r w:rsidR="00512149" w:rsidRPr="00F34DBA">
        <w:t xml:space="preserve">, zwanej dalej „ustawą </w:t>
      </w:r>
      <w:proofErr w:type="spellStart"/>
      <w:r w:rsidR="00512149" w:rsidRPr="00F34DBA">
        <w:t>Pzp</w:t>
      </w:r>
      <w:proofErr w:type="spellEnd"/>
      <w:r w:rsidR="00512149" w:rsidRPr="00F34DBA">
        <w:t>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>Dostawę l</w:t>
      </w:r>
      <w:r w:rsidR="00B67852">
        <w:rPr>
          <w:b/>
        </w:rPr>
        <w:t>eków do Apteki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 xml:space="preserve">załącznikiem nr </w:t>
      </w:r>
      <w:r w:rsidR="00C87C4D">
        <w:rPr>
          <w:b/>
          <w:sz w:val="24"/>
          <w:szCs w:val="24"/>
        </w:rPr>
        <w:t>2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Umowa zostaje zawarta </w:t>
      </w:r>
      <w:r w:rsidR="002A7BC1">
        <w:rPr>
          <w:sz w:val="24"/>
          <w:szCs w:val="24"/>
        </w:rPr>
        <w:t xml:space="preserve">na okres </w:t>
      </w:r>
      <w:r w:rsidR="002A7BC1" w:rsidRPr="00E5619D">
        <w:rPr>
          <w:b/>
          <w:sz w:val="24"/>
          <w:szCs w:val="24"/>
        </w:rPr>
        <w:t>12</w:t>
      </w:r>
      <w:r w:rsidR="00B721D7" w:rsidRPr="00E5619D">
        <w:rPr>
          <w:b/>
          <w:sz w:val="24"/>
          <w:szCs w:val="24"/>
        </w:rPr>
        <w:t xml:space="preserve"> miesięcy</w:t>
      </w:r>
      <w:r w:rsidR="00707E46">
        <w:rPr>
          <w:sz w:val="24"/>
          <w:szCs w:val="24"/>
        </w:rPr>
        <w:t>, tj. od dnia………….</w:t>
      </w:r>
      <w:r w:rsidR="002A7BC1">
        <w:rPr>
          <w:sz w:val="24"/>
          <w:szCs w:val="24"/>
        </w:rPr>
        <w:t xml:space="preserve"> r. 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 xml:space="preserve">załączniku nr </w:t>
      </w:r>
      <w:r w:rsidR="000C5519">
        <w:rPr>
          <w:b/>
          <w:sz w:val="24"/>
          <w:szCs w:val="24"/>
        </w:rPr>
        <w:t>2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 xml:space="preserve">załączniku nr </w:t>
      </w:r>
      <w:r w:rsidR="007F6C37">
        <w:rPr>
          <w:b/>
        </w:rPr>
        <w:t>2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</w:t>
      </w:r>
      <w:proofErr w:type="spellStart"/>
      <w:r w:rsidRPr="00F34DBA">
        <w:rPr>
          <w:sz w:val="24"/>
          <w:szCs w:val="24"/>
        </w:rPr>
        <w:t>fax-u</w:t>
      </w:r>
      <w:proofErr w:type="spellEnd"/>
      <w:r w:rsidRPr="00F34DBA">
        <w:rPr>
          <w:sz w:val="24"/>
          <w:szCs w:val="24"/>
        </w:rPr>
        <w:t xml:space="preserve">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lastRenderedPageBreak/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Zamawiający zawiadomi pisemnie o tym Wykonawcę za pośrednictwem </w:t>
      </w:r>
      <w:proofErr w:type="spellStart"/>
      <w:r w:rsidRPr="00B46CBA">
        <w:rPr>
          <w:sz w:val="24"/>
          <w:szCs w:val="24"/>
        </w:rPr>
        <w:t>fax-u</w:t>
      </w:r>
      <w:proofErr w:type="spellEnd"/>
      <w:r w:rsidRPr="00B46CBA">
        <w:rPr>
          <w:sz w:val="24"/>
          <w:szCs w:val="24"/>
        </w:rPr>
        <w:t xml:space="preserve">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51361E" w:rsidRDefault="0051361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4523C8">
        <w:rPr>
          <w:sz w:val="24"/>
          <w:szCs w:val="24"/>
        </w:rPr>
        <w:t>Za dzień zapłaty uznaje się dzień obciążenia konta bankowego Zamawiającego</w:t>
      </w:r>
      <w:r w:rsidR="00C305AD">
        <w:rPr>
          <w:sz w:val="24"/>
          <w:szCs w:val="24"/>
        </w:rPr>
        <w:t>.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lastRenderedPageBreak/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>Zamawiający, zgodnie z art. 144</w:t>
      </w:r>
      <w:r w:rsidR="00CF7579">
        <w:t xml:space="preserve"> ust. 1</w:t>
      </w:r>
      <w:r w:rsidRPr="00F34DBA">
        <w:t xml:space="preserve">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="00F87D9F" w:rsidRPr="00F34DBA">
        <w:t xml:space="preserve"> Zamawiający może nabyć leki zgodnie z przepisami powszechnie obowiązującymi;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wielkości opakowania wprowadzonej przez producenta z zachowaniem zasady proporcjonalności w stosunku do ceny objętej umową, pod warunkiem, iż Wykonawca z odpowiednim wyprzedzeniem (co najmniej </w:t>
      </w:r>
      <w:r w:rsidR="00F87D9F" w:rsidRPr="00F34DBA">
        <w:rPr>
          <w:bCs/>
        </w:rPr>
        <w:t xml:space="preserve">14 </w:t>
      </w:r>
      <w:r w:rsidR="00F87D9F"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DF0A01" w:rsidRPr="00B46CBA" w:rsidRDefault="00F87D9F" w:rsidP="00DF0A01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 xml:space="preserve">w załączniku nr </w:t>
      </w:r>
      <w:r w:rsidR="00410ACA">
        <w:rPr>
          <w:b/>
        </w:rPr>
        <w:t>2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  <w:r w:rsidR="00CF7579">
        <w:t xml:space="preserve"> Jednocześnie Wykonawca jest zobowiązany do powiadomienia Zamawiającego o każdej z takiej zmianie (np. e-mail, </w:t>
      </w:r>
      <w:proofErr w:type="spellStart"/>
      <w:r w:rsidR="00CF7579">
        <w:t>fax</w:t>
      </w:r>
      <w:proofErr w:type="spellEnd"/>
      <w:r w:rsidR="00CF7579">
        <w:t>).</w:t>
      </w:r>
    </w:p>
    <w:p w:rsidR="00F87D9F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367226" w:rsidRPr="0045191F" w:rsidRDefault="00CF7579" w:rsidP="0045191F">
      <w:pPr>
        <w:numPr>
          <w:ilvl w:val="0"/>
          <w:numId w:val="9"/>
        </w:numPr>
        <w:spacing w:before="100" w:beforeAutospacing="1" w:after="100" w:afterAutospacing="1"/>
      </w:pPr>
      <w:r>
        <w:t xml:space="preserve">Strony mogą dokonać zmiany umowy w przypadkach określonych w art. 144 ust. 1 </w:t>
      </w:r>
      <w:proofErr w:type="spellStart"/>
      <w:r>
        <w:t>pkt</w:t>
      </w:r>
      <w:proofErr w:type="spellEnd"/>
      <w:r>
        <w:t xml:space="preserve"> 2-6 ustawy </w:t>
      </w:r>
      <w:proofErr w:type="spellStart"/>
      <w:r>
        <w:t>Pzp</w:t>
      </w:r>
      <w:proofErr w:type="spellEnd"/>
      <w:r>
        <w:t>.</w:t>
      </w: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ZAMAWIAJĄCY</w:t>
      </w:r>
      <w:r w:rsidR="00EB438B" w:rsidRPr="00F34DBA">
        <w:rPr>
          <w:b/>
          <w:sz w:val="24"/>
          <w:szCs w:val="24"/>
        </w:rPr>
        <w:t>:</w:t>
      </w:r>
      <w:r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  <w:t>WYKONAWCA</w:t>
      </w:r>
      <w:r w:rsidR="00EB438B" w:rsidRPr="00F34DBA">
        <w:rPr>
          <w:b/>
          <w:sz w:val="24"/>
          <w:szCs w:val="24"/>
        </w:rPr>
        <w:t>: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B6F" w:rsidRDefault="00376B6F">
      <w:r>
        <w:separator/>
      </w:r>
    </w:p>
  </w:endnote>
  <w:endnote w:type="continuationSeparator" w:id="0">
    <w:p w:rsidR="00376B6F" w:rsidRDefault="00376B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D36562">
        <w:rPr>
          <w:noProof/>
        </w:rPr>
        <w:t>1</w:t>
      </w:r>
    </w:fldSimple>
    <w:r w:rsidRPr="00F7076A">
      <w:t xml:space="preserve"> z </w:t>
    </w:r>
    <w:fldSimple w:instr=" NUMPAGES ">
      <w:r w:rsidR="00D36562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B6F" w:rsidRDefault="00376B6F">
      <w:r>
        <w:separator/>
      </w:r>
    </w:p>
  </w:footnote>
  <w:footnote w:type="continuationSeparator" w:id="0">
    <w:p w:rsidR="00376B6F" w:rsidRDefault="00376B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5E6CBF"/>
    <w:multiLevelType w:val="multilevel"/>
    <w:tmpl w:val="517EA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15"/>
  </w:num>
  <w:num w:numId="5">
    <w:abstractNumId w:val="26"/>
  </w:num>
  <w:num w:numId="6">
    <w:abstractNumId w:val="16"/>
  </w:num>
  <w:num w:numId="7">
    <w:abstractNumId w:val="25"/>
  </w:num>
  <w:num w:numId="8">
    <w:abstractNumId w:val="5"/>
  </w:num>
  <w:num w:numId="9">
    <w:abstractNumId w:val="13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4"/>
  </w:num>
  <w:num w:numId="15">
    <w:abstractNumId w:val="19"/>
  </w:num>
  <w:num w:numId="16">
    <w:abstractNumId w:val="23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7"/>
  </w:num>
  <w:num w:numId="22">
    <w:abstractNumId w:val="14"/>
  </w:num>
  <w:num w:numId="23">
    <w:abstractNumId w:val="20"/>
  </w:num>
  <w:num w:numId="2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61122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70305"/>
    <w:rsid w:val="000723EE"/>
    <w:rsid w:val="00085735"/>
    <w:rsid w:val="00086F3F"/>
    <w:rsid w:val="00092B7C"/>
    <w:rsid w:val="000A0059"/>
    <w:rsid w:val="000B09D8"/>
    <w:rsid w:val="000B2D4E"/>
    <w:rsid w:val="000C2D0E"/>
    <w:rsid w:val="000C4DEE"/>
    <w:rsid w:val="000C5519"/>
    <w:rsid w:val="000D0E56"/>
    <w:rsid w:val="000D179C"/>
    <w:rsid w:val="000D5A0B"/>
    <w:rsid w:val="000D5BEA"/>
    <w:rsid w:val="000E1D11"/>
    <w:rsid w:val="000F02AB"/>
    <w:rsid w:val="000F2874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1F39FC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A7BC1"/>
    <w:rsid w:val="002B0150"/>
    <w:rsid w:val="002C21C5"/>
    <w:rsid w:val="002C5047"/>
    <w:rsid w:val="002E1BA8"/>
    <w:rsid w:val="002E1FBE"/>
    <w:rsid w:val="002E386D"/>
    <w:rsid w:val="002E6969"/>
    <w:rsid w:val="002E767F"/>
    <w:rsid w:val="002F0F8B"/>
    <w:rsid w:val="002F1DC6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6B6F"/>
    <w:rsid w:val="00377853"/>
    <w:rsid w:val="00385651"/>
    <w:rsid w:val="00391D8A"/>
    <w:rsid w:val="00397718"/>
    <w:rsid w:val="003A04B0"/>
    <w:rsid w:val="003A6BE9"/>
    <w:rsid w:val="003B568E"/>
    <w:rsid w:val="003C0A85"/>
    <w:rsid w:val="003C4114"/>
    <w:rsid w:val="003D00B3"/>
    <w:rsid w:val="003D03A0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0ACA"/>
    <w:rsid w:val="0041398F"/>
    <w:rsid w:val="00434CF6"/>
    <w:rsid w:val="00434E05"/>
    <w:rsid w:val="0044629D"/>
    <w:rsid w:val="0045191F"/>
    <w:rsid w:val="00451E4C"/>
    <w:rsid w:val="004523C8"/>
    <w:rsid w:val="004549E8"/>
    <w:rsid w:val="0046746E"/>
    <w:rsid w:val="00467ED0"/>
    <w:rsid w:val="00490BD0"/>
    <w:rsid w:val="00492FC6"/>
    <w:rsid w:val="004931EA"/>
    <w:rsid w:val="00495AFC"/>
    <w:rsid w:val="004B0D63"/>
    <w:rsid w:val="004B20FE"/>
    <w:rsid w:val="004C10FF"/>
    <w:rsid w:val="004D1D8E"/>
    <w:rsid w:val="004D24FD"/>
    <w:rsid w:val="004D2C61"/>
    <w:rsid w:val="004D4F42"/>
    <w:rsid w:val="004D5811"/>
    <w:rsid w:val="004E131C"/>
    <w:rsid w:val="004E3665"/>
    <w:rsid w:val="004E3DBE"/>
    <w:rsid w:val="004F26C3"/>
    <w:rsid w:val="005013EB"/>
    <w:rsid w:val="00501A5C"/>
    <w:rsid w:val="005022D0"/>
    <w:rsid w:val="00505CD4"/>
    <w:rsid w:val="00512149"/>
    <w:rsid w:val="0051361E"/>
    <w:rsid w:val="00527439"/>
    <w:rsid w:val="005376E8"/>
    <w:rsid w:val="0053789F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5F380C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3A59"/>
    <w:rsid w:val="00635DE9"/>
    <w:rsid w:val="00637CEA"/>
    <w:rsid w:val="00641A64"/>
    <w:rsid w:val="0065322F"/>
    <w:rsid w:val="0065766E"/>
    <w:rsid w:val="006645FB"/>
    <w:rsid w:val="00670B55"/>
    <w:rsid w:val="00674A87"/>
    <w:rsid w:val="00684E1B"/>
    <w:rsid w:val="00685414"/>
    <w:rsid w:val="0068604A"/>
    <w:rsid w:val="00686904"/>
    <w:rsid w:val="00686BB1"/>
    <w:rsid w:val="0068721A"/>
    <w:rsid w:val="00692ED7"/>
    <w:rsid w:val="00693C0A"/>
    <w:rsid w:val="006977DF"/>
    <w:rsid w:val="006A26AF"/>
    <w:rsid w:val="006B4F93"/>
    <w:rsid w:val="006E24B4"/>
    <w:rsid w:val="006F0248"/>
    <w:rsid w:val="007057FF"/>
    <w:rsid w:val="00707E46"/>
    <w:rsid w:val="00710468"/>
    <w:rsid w:val="00713C47"/>
    <w:rsid w:val="00721BA3"/>
    <w:rsid w:val="0072260F"/>
    <w:rsid w:val="00730FD7"/>
    <w:rsid w:val="00731481"/>
    <w:rsid w:val="007405C9"/>
    <w:rsid w:val="00743AC5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A6E31"/>
    <w:rsid w:val="007B06DB"/>
    <w:rsid w:val="007B16A9"/>
    <w:rsid w:val="007B2073"/>
    <w:rsid w:val="007B4D6B"/>
    <w:rsid w:val="007B7652"/>
    <w:rsid w:val="007C250C"/>
    <w:rsid w:val="007C3466"/>
    <w:rsid w:val="007D5CAD"/>
    <w:rsid w:val="007D7D7E"/>
    <w:rsid w:val="007E19B5"/>
    <w:rsid w:val="007E1C42"/>
    <w:rsid w:val="007E67B1"/>
    <w:rsid w:val="007F224F"/>
    <w:rsid w:val="007F32DC"/>
    <w:rsid w:val="007F443B"/>
    <w:rsid w:val="007F6C37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5251C"/>
    <w:rsid w:val="00870894"/>
    <w:rsid w:val="0087310F"/>
    <w:rsid w:val="00875813"/>
    <w:rsid w:val="00876290"/>
    <w:rsid w:val="00877093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09AE"/>
    <w:rsid w:val="00902333"/>
    <w:rsid w:val="00905C51"/>
    <w:rsid w:val="00914ACC"/>
    <w:rsid w:val="009205FD"/>
    <w:rsid w:val="00925761"/>
    <w:rsid w:val="00926EA8"/>
    <w:rsid w:val="00934FFE"/>
    <w:rsid w:val="00935299"/>
    <w:rsid w:val="009371D1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17839"/>
    <w:rsid w:val="00A2670B"/>
    <w:rsid w:val="00A30A00"/>
    <w:rsid w:val="00A348E3"/>
    <w:rsid w:val="00A3508A"/>
    <w:rsid w:val="00A42C02"/>
    <w:rsid w:val="00A43D83"/>
    <w:rsid w:val="00A61ACF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5F91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67852"/>
    <w:rsid w:val="00B7165C"/>
    <w:rsid w:val="00B721D7"/>
    <w:rsid w:val="00B74CE0"/>
    <w:rsid w:val="00B82A5C"/>
    <w:rsid w:val="00B9166D"/>
    <w:rsid w:val="00B95398"/>
    <w:rsid w:val="00B96645"/>
    <w:rsid w:val="00BA0354"/>
    <w:rsid w:val="00BA7074"/>
    <w:rsid w:val="00BA7A13"/>
    <w:rsid w:val="00BB02E5"/>
    <w:rsid w:val="00BB20B9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5AD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0B33"/>
    <w:rsid w:val="00C71385"/>
    <w:rsid w:val="00C7683C"/>
    <w:rsid w:val="00C81601"/>
    <w:rsid w:val="00C87C4D"/>
    <w:rsid w:val="00C97297"/>
    <w:rsid w:val="00CA205C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CF7579"/>
    <w:rsid w:val="00D01429"/>
    <w:rsid w:val="00D148E8"/>
    <w:rsid w:val="00D14BE7"/>
    <w:rsid w:val="00D21225"/>
    <w:rsid w:val="00D23321"/>
    <w:rsid w:val="00D27537"/>
    <w:rsid w:val="00D3024E"/>
    <w:rsid w:val="00D30F88"/>
    <w:rsid w:val="00D31F23"/>
    <w:rsid w:val="00D34A2D"/>
    <w:rsid w:val="00D36123"/>
    <w:rsid w:val="00D36562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0A01"/>
    <w:rsid w:val="00DF5CB9"/>
    <w:rsid w:val="00DF6ECC"/>
    <w:rsid w:val="00E05D96"/>
    <w:rsid w:val="00E064D2"/>
    <w:rsid w:val="00E10B5C"/>
    <w:rsid w:val="00E13750"/>
    <w:rsid w:val="00E22E69"/>
    <w:rsid w:val="00E2732D"/>
    <w:rsid w:val="00E3424B"/>
    <w:rsid w:val="00E34E9A"/>
    <w:rsid w:val="00E42D1E"/>
    <w:rsid w:val="00E4354E"/>
    <w:rsid w:val="00E442CE"/>
    <w:rsid w:val="00E51F72"/>
    <w:rsid w:val="00E5619D"/>
    <w:rsid w:val="00E60DD4"/>
    <w:rsid w:val="00E617FD"/>
    <w:rsid w:val="00E64DFC"/>
    <w:rsid w:val="00E66AFC"/>
    <w:rsid w:val="00E71848"/>
    <w:rsid w:val="00E8507E"/>
    <w:rsid w:val="00E86B36"/>
    <w:rsid w:val="00E93F32"/>
    <w:rsid w:val="00EA04AD"/>
    <w:rsid w:val="00EB438B"/>
    <w:rsid w:val="00EB64CE"/>
    <w:rsid w:val="00EB6F95"/>
    <w:rsid w:val="00EC10C2"/>
    <w:rsid w:val="00ED4110"/>
    <w:rsid w:val="00ED4BBD"/>
    <w:rsid w:val="00EE3153"/>
    <w:rsid w:val="00EE5991"/>
    <w:rsid w:val="00EF3055"/>
    <w:rsid w:val="00F01448"/>
    <w:rsid w:val="00F04F3C"/>
    <w:rsid w:val="00F05B56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12B0"/>
    <w:rsid w:val="00F647D6"/>
    <w:rsid w:val="00F65582"/>
    <w:rsid w:val="00F7076A"/>
    <w:rsid w:val="00F70EE8"/>
    <w:rsid w:val="00F74CAD"/>
    <w:rsid w:val="00F75DBC"/>
    <w:rsid w:val="00F8330B"/>
    <w:rsid w:val="00F87D9F"/>
    <w:rsid w:val="00F90012"/>
    <w:rsid w:val="00F968E4"/>
    <w:rsid w:val="00FA666E"/>
    <w:rsid w:val="00FB17D8"/>
    <w:rsid w:val="00FB6290"/>
    <w:rsid w:val="00FB6B39"/>
    <w:rsid w:val="00FB71C4"/>
    <w:rsid w:val="00FC0C60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1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0822F4-6CD5-4B4B-BFBC-70AF6165C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2530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Windows User</cp:lastModifiedBy>
  <cp:revision>18</cp:revision>
  <cp:lastPrinted>2017-02-09T11:30:00Z</cp:lastPrinted>
  <dcterms:created xsi:type="dcterms:W3CDTF">2017-02-09T10:12:00Z</dcterms:created>
  <dcterms:modified xsi:type="dcterms:W3CDTF">2017-02-09T11:32:00Z</dcterms:modified>
</cp:coreProperties>
</file>